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071" w:type="dxa"/>
        <w:tblInd w:w="-856" w:type="dxa"/>
        <w:tblLook w:val="04A0" w:firstRow="1" w:lastRow="0" w:firstColumn="1" w:lastColumn="0" w:noHBand="0" w:noVBand="1"/>
      </w:tblPr>
      <w:tblGrid>
        <w:gridCol w:w="5550"/>
        <w:gridCol w:w="5521"/>
      </w:tblGrid>
      <w:tr w:rsidR="00A232D0" w14:paraId="6844166B" w14:textId="77777777" w:rsidTr="00A232D0">
        <w:trPr>
          <w:trHeight w:val="1717"/>
        </w:trPr>
        <w:tc>
          <w:tcPr>
            <w:tcW w:w="11071" w:type="dxa"/>
            <w:gridSpan w:val="2"/>
          </w:tcPr>
          <w:p w14:paraId="1D4C9FFD" w14:textId="75455861" w:rsidR="00F467B5" w:rsidRDefault="00F467B5" w:rsidP="00F46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LANYA ALAADDİN KEYKUBAT ÜNİVERSİTESİ</w:t>
            </w:r>
          </w:p>
          <w:p w14:paraId="1FA25CCB" w14:textId="76073301" w:rsidR="00F467B5" w:rsidRPr="00136402" w:rsidRDefault="00F467B5" w:rsidP="00F46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 BİLİMLERİ FAKÜLTESİ</w:t>
            </w:r>
          </w:p>
          <w:p w14:paraId="32CE8DD8" w14:textId="6AA221D4" w:rsidR="00F467B5" w:rsidRDefault="00F467B5" w:rsidP="00F46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YENİ GELEN ÖĞRENCİ ANKETİ SONUÇLARININ YÖKAK ÖLÇÜTLERİ ÇERÇEVESİNDE DEĞERLENDİRİLMESİ</w:t>
            </w:r>
          </w:p>
          <w:p w14:paraId="27CA2C57" w14:textId="77777777" w:rsidR="00F467B5" w:rsidRPr="00136402" w:rsidRDefault="00F467B5" w:rsidP="00F46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2476DA" w14:textId="77777777" w:rsidR="00F467B5" w:rsidRPr="00136402" w:rsidRDefault="00F467B5" w:rsidP="00F4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Amaç ve Kapsam</w:t>
            </w:r>
          </w:p>
          <w:p w14:paraId="46F06BCD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Bu değerlendirme, Alanya Alaaddin Keykubat Üniversitesi Spor Bilimleri Fakültesi’ne yeni kayıt yaptıran öğrencilerin eğitim-öğretim, akademik destek, kurumsal yapı ve mesleki yeterliklere ilişkin algılarını belirlemek amacıyla uygulanmış olan Yeni Gelen Öğrenci Anketi bulgularına dayanmaktadır.</w:t>
            </w:r>
          </w:p>
          <w:p w14:paraId="106472D0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 xml:space="preserve">Elde edilen veriler, YÖKAK </w:t>
            </w: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 ve Öğretim</w:t>
            </w: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Merkezli Öğrenme</w:t>
            </w: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Kalite Güvencesi</w:t>
            </w: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Sürekli İyileştirme</w:t>
            </w: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 xml:space="preserve"> ölçütleri doğrultusunda analiz edilmiştir.</w:t>
            </w:r>
          </w:p>
          <w:p w14:paraId="78955925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9DA81" w14:textId="77777777" w:rsidR="00F467B5" w:rsidRPr="00136402" w:rsidRDefault="00F467B5" w:rsidP="00F4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Eğitim-Öğretim Süreçlerinin Planlanması ve Uygulanması</w:t>
            </w:r>
          </w:p>
          <w:p w14:paraId="0790364C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(YÖKAK Ölçüt 2.1 – Program Tasarımı ve Onayı)</w:t>
            </w:r>
          </w:p>
          <w:p w14:paraId="427FB443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 xml:space="preserve">Öğrencilerin ders içeriklerinin güncelliğine ilişkin algısı </w:t>
            </w: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yüksek-orta düzeydedir</w:t>
            </w: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334016" w14:textId="77777777" w:rsidR="00F467B5" w:rsidRPr="00136402" w:rsidRDefault="00F467B5" w:rsidP="00F467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Ders içeriklerinin güncel bilimsel gelişmelerle uyumu</w:t>
            </w:r>
            <w:r w:rsidRPr="001364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Ort. = 3,85</w:t>
            </w:r>
          </w:p>
          <w:p w14:paraId="212E6C5A" w14:textId="77777777" w:rsidR="00F467B5" w:rsidRPr="00136402" w:rsidRDefault="00F467B5" w:rsidP="00F467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Ders programının mesleki yeterlilik kazandırmaya uygunluğu</w:t>
            </w:r>
            <w:r w:rsidRPr="001364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Ort. = 3,61</w:t>
            </w:r>
          </w:p>
          <w:p w14:paraId="0CFF82CE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Bu bulgular, eğitim programlarının amaç ve öğrenme çıktılarıyla genel olarak uyumlu olduğunu göstermektedir. Ancak mesleki yeterlilik algısının sınırlı kalması, öğrenme çıktılarının uygulamaya yansıtılmasında güçlendirme ihtiyacına işaret etmektedir.</w:t>
            </w:r>
          </w:p>
          <w:p w14:paraId="4149BE9A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1E267" w14:textId="77777777" w:rsidR="00F467B5" w:rsidRPr="00136402" w:rsidRDefault="00F467B5" w:rsidP="00F4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Öğrenci Merkezli Öğrenme, Öğretme ve Değerlendirme</w:t>
            </w:r>
          </w:p>
          <w:p w14:paraId="3FF755B2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(YÖKAK Ölçüt 2.2)</w:t>
            </w:r>
          </w:p>
          <w:p w14:paraId="0E9F640F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Akademik personelin ulaşılabilirliği ve öğrenciyle etkileşimi öğrenci algısına olumlu yansımaktadır.</w:t>
            </w:r>
          </w:p>
          <w:p w14:paraId="13CE577D" w14:textId="77777777" w:rsidR="00F467B5" w:rsidRPr="00136402" w:rsidRDefault="00F467B5" w:rsidP="00F467B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Akademik personelin ulaşılabilirliği ve geri bildirime açıklığı</w:t>
            </w:r>
            <w:r w:rsidRPr="001364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Ort. = 3,60</w:t>
            </w:r>
          </w:p>
          <w:p w14:paraId="6DFF0730" w14:textId="77777777" w:rsidR="00F467B5" w:rsidRPr="00136402" w:rsidRDefault="00F467B5" w:rsidP="00F467B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Akademik danışmanlık ve rehberlik hizmetleri</w:t>
            </w:r>
            <w:r w:rsidRPr="001364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Ort. = 3,58</w:t>
            </w:r>
          </w:p>
          <w:p w14:paraId="6BC39FCA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Bununla birlikte, öğrencilerin sportif gelişimini izlemeye yönelik ölçme ve değerlendirme süreçlerine ilişkin algılar görece düşüktür</w:t>
            </w:r>
            <w:r w:rsidRPr="00136402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Ort. ≈ 3,05</w:t>
            </w: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). Bu durum, ölçme-değerlendirme mekanizmalarının öğrenciye daha açık, sistematik ve izlenebilir biçimde yapılandırılması gerektiğini göstermektedir.</w:t>
            </w:r>
          </w:p>
          <w:p w14:paraId="4AD60331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53D8E" w14:textId="77777777" w:rsidR="00F467B5" w:rsidRPr="00136402" w:rsidRDefault="00F467B5" w:rsidP="00F4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Akademik Kadro Yeterliliği</w:t>
            </w:r>
          </w:p>
          <w:p w14:paraId="6E572063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(YÖKAK Ölçüt 2.3 – Öğretim Elemanları)</w:t>
            </w:r>
          </w:p>
          <w:p w14:paraId="1F8271D3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Öğrenciler, akademik kadronun alan uzmanlığına ilişkin genel olarak olumlu görüş bildirmiştir.</w:t>
            </w:r>
          </w:p>
          <w:p w14:paraId="6A5568DE" w14:textId="77777777" w:rsidR="00F467B5" w:rsidRPr="00136402" w:rsidRDefault="00F467B5" w:rsidP="00F467B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Akademik kadronun spor bilimleri alanında yeterliliği</w:t>
            </w:r>
            <w:r w:rsidRPr="001364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Ort. = 3,61</w:t>
            </w:r>
          </w:p>
          <w:p w14:paraId="69A4F5D8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 xml:space="preserve">Bu sonuç, öğretim elemanlarının niteliğinin öğrenci algısında kabul edilebilir düzeyde olduğunu göstermekte olup, YÖKAK ölçütleri açısından </w:t>
            </w: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asgari yeterlilik koşulu sağlanmaktadır</w:t>
            </w: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786091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D999B" w14:textId="77777777" w:rsidR="00F467B5" w:rsidRPr="00136402" w:rsidRDefault="00F467B5" w:rsidP="00F4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Öğrenme Kaynakları ve Fiziksel Altyapı</w:t>
            </w:r>
          </w:p>
          <w:p w14:paraId="339A9DC2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(YÖKAK Ölçüt 2.4 – Öğrenme Kaynakları)</w:t>
            </w:r>
          </w:p>
          <w:p w14:paraId="4DA2FC22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Anket sonuçlarına göre fakültenin en zayıf algı alanı, uygulamalı öğrenme ortamlarıdır.</w:t>
            </w:r>
          </w:p>
          <w:p w14:paraId="00AF8A55" w14:textId="77777777" w:rsidR="00F467B5" w:rsidRPr="00136402" w:rsidRDefault="00F467B5" w:rsidP="00F467B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Uygulamalı saha ve tesis imkânlarının yeterliliği</w:t>
            </w:r>
            <w:r w:rsidRPr="001364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Ort. = 2,14</w:t>
            </w:r>
          </w:p>
          <w:p w14:paraId="695A9A85" w14:textId="77777777" w:rsidR="00F467B5" w:rsidRPr="00136402" w:rsidRDefault="00F467B5" w:rsidP="00F467B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Staj ve uygulama fırsatları</w:t>
            </w:r>
            <w:r w:rsidRPr="001364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Ort. = 3,19</w:t>
            </w:r>
          </w:p>
          <w:p w14:paraId="53E6D0A2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 xml:space="preserve">Bu bulgular, öğrenme kaynakları ve fiziksel altyapının öğrenci merkezli öğrenmeyi desteklemede yetersiz kaldığını göstermektedir. Bu alan, YÖKAK değerlendirme sürecinde </w:t>
            </w: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geliştirilmesi gereken kritik alan</w:t>
            </w: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 xml:space="preserve"> olarak öne çıkmaktadır.</w:t>
            </w:r>
          </w:p>
          <w:p w14:paraId="58DEC6DE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021B0" w14:textId="77777777" w:rsidR="00F467B5" w:rsidRPr="00136402" w:rsidRDefault="00F467B5" w:rsidP="00F4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Mezuniyet, İstihdam ve Mesleki Yeterlikler</w:t>
            </w:r>
          </w:p>
          <w:p w14:paraId="4F99647B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(YÖKAK Ölçüt 2.5 – Program Çıktıları ve İzleme)</w:t>
            </w:r>
          </w:p>
          <w:p w14:paraId="4AB0B327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Öğrencilerin mezuniyet sonrası mesleki yeterlik kazanmaya ilişkin algısı orta düzeydedir.</w:t>
            </w:r>
          </w:p>
          <w:p w14:paraId="77D5AB4B" w14:textId="77777777" w:rsidR="00F467B5" w:rsidRPr="00136402" w:rsidRDefault="00F467B5" w:rsidP="00F467B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Mezuniyet sonrası iş hayatına yönelik mesleki beceriler</w:t>
            </w:r>
            <w:r w:rsidRPr="001364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Ort. = 3,49</w:t>
            </w:r>
          </w:p>
          <w:p w14:paraId="5B194B10" w14:textId="77777777" w:rsidR="00F467B5" w:rsidRPr="00136402" w:rsidRDefault="00F467B5" w:rsidP="00F467B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Araştırma ve proje yapma imkânları</w:t>
            </w:r>
            <w:r w:rsidRPr="001364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Ort. = 3,48</w:t>
            </w:r>
          </w:p>
          <w:p w14:paraId="74619786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Bu durum, program çıktılarının izlenmesi ve mezun istihdamına yönelik geri bildirim mekanizmalarının güçlendirilmesi gerektiğini göstermektedir.</w:t>
            </w:r>
          </w:p>
          <w:p w14:paraId="5EFEF367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C9CD8" w14:textId="77777777" w:rsidR="00F467B5" w:rsidRPr="00136402" w:rsidRDefault="00F467B5" w:rsidP="00F4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Kurumsal Vizyon, Etik ve Kapsayıcılık</w:t>
            </w:r>
          </w:p>
          <w:p w14:paraId="45A9EFEC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(YÖKAK Ölçüt 1.1 ve 1.3 – Kalite Güvencesi Sistemi)</w:t>
            </w:r>
          </w:p>
          <w:p w14:paraId="2366087A" w14:textId="77777777" w:rsidR="00F467B5" w:rsidRPr="00136402" w:rsidRDefault="00F467B5" w:rsidP="00F467B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Eğitimde kapsayıcılık ve herkes için spor anlayışı</w:t>
            </w:r>
            <w:r w:rsidRPr="001364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Ort. = 3,75</w:t>
            </w:r>
          </w:p>
          <w:p w14:paraId="1C5FFEB3" w14:textId="77777777" w:rsidR="00F467B5" w:rsidRPr="00136402" w:rsidRDefault="00F467B5" w:rsidP="00F467B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 xml:space="preserve">Etik spor kültürü ve </w:t>
            </w:r>
            <w:proofErr w:type="spellStart"/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fair-play</w:t>
            </w:r>
            <w:proofErr w:type="spellEnd"/>
            <w:r w:rsidRPr="00136402">
              <w:rPr>
                <w:rFonts w:ascii="Times New Roman" w:hAnsi="Times New Roman" w:cs="Times New Roman"/>
                <w:sz w:val="24"/>
                <w:szCs w:val="24"/>
              </w:rPr>
              <w:t xml:space="preserve"> vurgusu</w:t>
            </w:r>
            <w:r w:rsidRPr="001364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Ort. = 3,58</w:t>
            </w:r>
          </w:p>
          <w:p w14:paraId="29BACC5B" w14:textId="77777777" w:rsidR="00F467B5" w:rsidRPr="00136402" w:rsidRDefault="00F467B5" w:rsidP="00F467B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Fakülte vizyon ve hedeflerinin öğrencilere aktarımı</w:t>
            </w:r>
            <w:r w:rsidRPr="001364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Ort. = 3,63</w:t>
            </w:r>
          </w:p>
          <w:p w14:paraId="7E3E82CA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Bu sonuçlar, fakültenin kalite politikası ve kurumsal değerlerinin öğrenci algısına yansıdığını göstermekte ve YÖKAK ölçütleriyle uyumlu bulunmaktadır.</w:t>
            </w:r>
          </w:p>
          <w:p w14:paraId="3F2C8761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261CA" w14:textId="77777777" w:rsidR="00F467B5" w:rsidRPr="00136402" w:rsidRDefault="00F467B5" w:rsidP="00F4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Sonuç ve Sürekli İyileştirme Yaklaşımı</w:t>
            </w:r>
          </w:p>
          <w:p w14:paraId="357E5C26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(YÖKAK Ölçüt 1.4 – PUKÖ Döngüsü)</w:t>
            </w:r>
          </w:p>
          <w:p w14:paraId="4BA1E882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Yeni gelen öğrenci anketi sonuçları doğrultusunda ALKÜ Spor Bilimleri Fakültesi;</w:t>
            </w:r>
          </w:p>
          <w:p w14:paraId="1D61A0BD" w14:textId="77777777" w:rsidR="00F467B5" w:rsidRPr="00136402" w:rsidRDefault="00F467B5" w:rsidP="00F467B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 xml:space="preserve">Eğitim programı ve akademik kadro açısından </w:t>
            </w: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yeterli düzeydedir</w:t>
            </w: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604083" w14:textId="77777777" w:rsidR="00F467B5" w:rsidRPr="00136402" w:rsidRDefault="00F467B5" w:rsidP="00F467B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 xml:space="preserve">Öğrenci merkezli öğrenme ve etik değerler açısından </w:t>
            </w: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güçlü yönlere sahiptir</w:t>
            </w: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97B0DE" w14:textId="77777777" w:rsidR="00F467B5" w:rsidRPr="00136402" w:rsidRDefault="00F467B5" w:rsidP="00F467B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 xml:space="preserve">Uygulamalı öğrenme, tesis kullanımı ve mesleki destek mekanizmaları açısından </w:t>
            </w: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iyileştirme gerektiren alanlara sahiptir</w:t>
            </w: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68EEDF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sz w:val="24"/>
                <w:szCs w:val="24"/>
              </w:rPr>
              <w:t>Bu bulgular, PUKÖ (Planla–Uygula–Kontrol Et–Önlem Al) döngüsü kapsamında değerlendirilmekte olup, ilgili alanlarda iyileştirme faaliyetlerinin planlanması ve izlenmesi önerilmektedir.</w:t>
            </w:r>
          </w:p>
          <w:p w14:paraId="6AA099A8" w14:textId="77777777" w:rsidR="00F467B5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3A829" w14:textId="77777777" w:rsidR="00F467B5" w:rsidRDefault="00F467B5" w:rsidP="00F4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Yorum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0EC6F67A" w14:textId="77777777" w:rsidR="00F467B5" w:rsidRPr="00250499" w:rsidRDefault="00F467B5" w:rsidP="00F467B5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504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Güçlü alanlar</w:t>
            </w:r>
            <w:r w:rsidRPr="002504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: Program içeriği, akademik kadro niteliği, etik ve kapsayıcılık</w:t>
            </w:r>
          </w:p>
          <w:p w14:paraId="01EA6809" w14:textId="77777777" w:rsidR="00F467B5" w:rsidRPr="00250499" w:rsidRDefault="00F467B5" w:rsidP="00F467B5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0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Riskli alanlar</w:t>
            </w:r>
            <w:r w:rsidRPr="00250499">
              <w:rPr>
                <w:rFonts w:ascii="Times New Roman" w:hAnsi="Times New Roman" w:cs="Times New Roman"/>
                <w:sz w:val="24"/>
                <w:szCs w:val="24"/>
              </w:rPr>
              <w:t>: Uygulamalı öğrenme, tesis kullanımı, sertifikasyon ve istihdam bağlantıları</w:t>
            </w:r>
          </w:p>
          <w:p w14:paraId="18A5E036" w14:textId="77777777" w:rsidR="00F467B5" w:rsidRPr="00250499" w:rsidRDefault="00F467B5" w:rsidP="00F467B5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0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Dosyayı zayıflatabilecek nokta</w:t>
            </w:r>
            <w:r w:rsidRPr="00250499">
              <w:rPr>
                <w:rFonts w:ascii="Times New Roman" w:hAnsi="Times New Roman" w:cs="Times New Roman"/>
                <w:sz w:val="24"/>
                <w:szCs w:val="24"/>
              </w:rPr>
              <w:t>: Uygulama altyapısının düşük algı puanı (</w:t>
            </w:r>
            <w:r w:rsidRPr="00250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2,14</w:t>
            </w:r>
            <w:r w:rsidRPr="002504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E974147" w14:textId="77777777" w:rsidR="00F467B5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FFA1C" w14:textId="77777777" w:rsidR="00F467B5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B02A7" w14:textId="77777777" w:rsidR="00F467B5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18B86" w14:textId="77777777" w:rsidR="00F467B5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258C3" w14:textId="77777777" w:rsidR="00F467B5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0DF74" w14:textId="77777777" w:rsidR="00F467B5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9189D" w14:textId="4F8B6A90" w:rsidR="00F467B5" w:rsidRPr="00136402" w:rsidRDefault="00F467B5" w:rsidP="00F46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YÖKAK DEĞERLENDİRME ÇERÇEVESİNDE</w:t>
            </w:r>
          </w:p>
          <w:p w14:paraId="11423713" w14:textId="0DBA3626" w:rsidR="00F467B5" w:rsidRDefault="00F467B5" w:rsidP="00F46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GÜÇLÜ YÖNLER – İYİLEŞTİRMEYE AÇIK ALANLAR – KANITLAR TABLOSU</w:t>
            </w:r>
          </w:p>
          <w:p w14:paraId="38CADC53" w14:textId="77777777" w:rsidR="00F467B5" w:rsidRPr="00136402" w:rsidRDefault="00F467B5" w:rsidP="00F46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4786EE" w14:textId="77777777" w:rsidR="00F467B5" w:rsidRPr="00136402" w:rsidRDefault="00F467B5" w:rsidP="00F4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Eğitim-Öğretim Süreçleri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758"/>
              <w:gridCol w:w="4160"/>
              <w:gridCol w:w="2927"/>
            </w:tblGrid>
            <w:tr w:rsidR="00F467B5" w:rsidRPr="00136402" w14:paraId="230CCFAE" w14:textId="77777777" w:rsidTr="00FD6762">
              <w:tc>
                <w:tcPr>
                  <w:tcW w:w="0" w:type="auto"/>
                  <w:hideMark/>
                </w:tcPr>
                <w:p w14:paraId="371026B0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Güçlü Yönler</w:t>
                  </w:r>
                </w:p>
              </w:tc>
              <w:tc>
                <w:tcPr>
                  <w:tcW w:w="0" w:type="auto"/>
                  <w:hideMark/>
                </w:tcPr>
                <w:p w14:paraId="01A8F9B2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İyileştirmeye Açık Alanlar</w:t>
                  </w:r>
                </w:p>
              </w:tc>
              <w:tc>
                <w:tcPr>
                  <w:tcW w:w="0" w:type="auto"/>
                  <w:hideMark/>
                </w:tcPr>
                <w:p w14:paraId="4A7FC747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Kanıt</w:t>
                  </w:r>
                </w:p>
              </w:tc>
            </w:tr>
            <w:tr w:rsidR="00F467B5" w:rsidRPr="00136402" w14:paraId="5F684CAA" w14:textId="77777777" w:rsidTr="00FD6762">
              <w:tc>
                <w:tcPr>
                  <w:tcW w:w="0" w:type="auto"/>
                  <w:hideMark/>
                </w:tcPr>
                <w:p w14:paraId="3D87FFD5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Ders içeriklerinin güncel bilimsel gelişmelerle uyumlu olması</w:t>
                  </w:r>
                </w:p>
              </w:tc>
              <w:tc>
                <w:tcPr>
                  <w:tcW w:w="0" w:type="auto"/>
                  <w:hideMark/>
                </w:tcPr>
                <w:p w14:paraId="256E5C02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Öğrenme çıktılarının uygulamaya yansıma düzeyinin artırılması</w:t>
                  </w:r>
                </w:p>
              </w:tc>
              <w:tc>
                <w:tcPr>
                  <w:tcW w:w="0" w:type="auto"/>
                  <w:hideMark/>
                </w:tcPr>
                <w:p w14:paraId="15CC7319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Ders içerikleri güncellik algısı Ort. = </w:t>
                  </w: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3,85</w:t>
                  </w:r>
                </w:p>
              </w:tc>
            </w:tr>
            <w:tr w:rsidR="00F467B5" w:rsidRPr="00136402" w14:paraId="6F2A5C89" w14:textId="77777777" w:rsidTr="00FD6762">
              <w:tc>
                <w:tcPr>
                  <w:tcW w:w="0" w:type="auto"/>
                  <w:hideMark/>
                </w:tcPr>
                <w:p w14:paraId="3F51F3A5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Programın mesleki yeterlilik kazandırmaya yönelik genel uygunluğu</w:t>
                  </w:r>
                </w:p>
              </w:tc>
              <w:tc>
                <w:tcPr>
                  <w:tcW w:w="0" w:type="auto"/>
                  <w:hideMark/>
                </w:tcPr>
                <w:p w14:paraId="45FCCB45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Mesleki yeterliliklerin ölçülmesine yönelik sistematik değerlendirme eksikliği</w:t>
                  </w:r>
                </w:p>
              </w:tc>
              <w:tc>
                <w:tcPr>
                  <w:tcW w:w="0" w:type="auto"/>
                  <w:hideMark/>
                </w:tcPr>
                <w:p w14:paraId="0E0EF71A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Programın mesleki yeterliliğe uygunluğu Ort. = </w:t>
                  </w: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3,61</w:t>
                  </w:r>
                </w:p>
              </w:tc>
            </w:tr>
          </w:tbl>
          <w:p w14:paraId="472CE789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B3EAD" w14:textId="77777777" w:rsidR="00F467B5" w:rsidRPr="00136402" w:rsidRDefault="00F467B5" w:rsidP="00F4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Öğrenci Merkezli Öğrenme ve Akademik Destek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423"/>
              <w:gridCol w:w="4775"/>
              <w:gridCol w:w="2647"/>
            </w:tblGrid>
            <w:tr w:rsidR="00F467B5" w:rsidRPr="00136402" w14:paraId="65B4236C" w14:textId="77777777" w:rsidTr="00FD6762">
              <w:tc>
                <w:tcPr>
                  <w:tcW w:w="0" w:type="auto"/>
                  <w:hideMark/>
                </w:tcPr>
                <w:p w14:paraId="4A602666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Güçlü Yönler</w:t>
                  </w:r>
                </w:p>
              </w:tc>
              <w:tc>
                <w:tcPr>
                  <w:tcW w:w="0" w:type="auto"/>
                  <w:hideMark/>
                </w:tcPr>
                <w:p w14:paraId="65ADEFB1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İyileştirmeye Açık Alanlar</w:t>
                  </w:r>
                </w:p>
              </w:tc>
              <w:tc>
                <w:tcPr>
                  <w:tcW w:w="0" w:type="auto"/>
                  <w:hideMark/>
                </w:tcPr>
                <w:p w14:paraId="5CD154EE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Kanıt</w:t>
                  </w:r>
                </w:p>
              </w:tc>
            </w:tr>
            <w:tr w:rsidR="00F467B5" w:rsidRPr="00136402" w14:paraId="5F369C23" w14:textId="77777777" w:rsidTr="00FD6762">
              <w:tc>
                <w:tcPr>
                  <w:tcW w:w="0" w:type="auto"/>
                  <w:hideMark/>
                </w:tcPr>
                <w:p w14:paraId="4ABFD4D4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Akademik personelin öğrencilere erişilebilir olması</w:t>
                  </w:r>
                </w:p>
              </w:tc>
              <w:tc>
                <w:tcPr>
                  <w:tcW w:w="0" w:type="auto"/>
                  <w:hideMark/>
                </w:tcPr>
                <w:p w14:paraId="3C54A6C0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Öğrencilerin gelişimini izlemeye yönelik ölçme-değerlendirme mekanizmalarının güçlendirilmesi</w:t>
                  </w:r>
                </w:p>
              </w:tc>
              <w:tc>
                <w:tcPr>
                  <w:tcW w:w="0" w:type="auto"/>
                  <w:hideMark/>
                </w:tcPr>
                <w:p w14:paraId="168DF682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Akademik personel erişilebilirliği Ort. = </w:t>
                  </w: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3,60</w:t>
                  </w:r>
                </w:p>
              </w:tc>
            </w:tr>
            <w:tr w:rsidR="00F467B5" w:rsidRPr="00136402" w14:paraId="7466E7A9" w14:textId="77777777" w:rsidTr="00FD6762">
              <w:tc>
                <w:tcPr>
                  <w:tcW w:w="0" w:type="auto"/>
                  <w:hideMark/>
                </w:tcPr>
                <w:p w14:paraId="4D10CC6C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Akademik danışmanlık hizmetlerinin genel olarak yeterli görülmesi</w:t>
                  </w:r>
                </w:p>
              </w:tc>
              <w:tc>
                <w:tcPr>
                  <w:tcW w:w="0" w:type="auto"/>
                  <w:hideMark/>
                </w:tcPr>
                <w:p w14:paraId="187F1FAE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Danışmanlık süreçlerinin yapılandırılmış ve izlenebilir hale getirilmesi</w:t>
                  </w:r>
                </w:p>
              </w:tc>
              <w:tc>
                <w:tcPr>
                  <w:tcW w:w="0" w:type="auto"/>
                  <w:hideMark/>
                </w:tcPr>
                <w:p w14:paraId="5FEF24E2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Akademik danışmanlık yeterliliği Ort. = </w:t>
                  </w: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3,58</w:t>
                  </w:r>
                </w:p>
              </w:tc>
            </w:tr>
            <w:tr w:rsidR="00F467B5" w:rsidRPr="00136402" w14:paraId="27660BFB" w14:textId="77777777" w:rsidTr="00FD6762">
              <w:tc>
                <w:tcPr>
                  <w:tcW w:w="0" w:type="auto"/>
                  <w:hideMark/>
                </w:tcPr>
                <w:p w14:paraId="2AD23E60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Kapsayıcı ve öğrenci odaklı eğitim anlayışı</w:t>
                  </w:r>
                </w:p>
              </w:tc>
              <w:tc>
                <w:tcPr>
                  <w:tcW w:w="0" w:type="auto"/>
                  <w:hideMark/>
                </w:tcPr>
                <w:p w14:paraId="5EAFA5A4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Öğrenci geri bildirimlerinin sistematik iyileştirme döngüsüne daha güçlü entegre edilmesi</w:t>
                  </w:r>
                </w:p>
              </w:tc>
              <w:tc>
                <w:tcPr>
                  <w:tcW w:w="0" w:type="auto"/>
                  <w:hideMark/>
                </w:tcPr>
                <w:p w14:paraId="13726A55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Kapsayıcı eğitim algısı Ort. = </w:t>
                  </w: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3,75</w:t>
                  </w:r>
                </w:p>
              </w:tc>
            </w:tr>
          </w:tbl>
          <w:p w14:paraId="10E67281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37BED" w14:textId="77777777" w:rsidR="00F467B5" w:rsidRPr="00136402" w:rsidRDefault="00F467B5" w:rsidP="00F4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Akademik Kadro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547"/>
              <w:gridCol w:w="4531"/>
              <w:gridCol w:w="2767"/>
            </w:tblGrid>
            <w:tr w:rsidR="00F467B5" w:rsidRPr="00136402" w14:paraId="113E2BBE" w14:textId="77777777" w:rsidTr="00FD6762">
              <w:tc>
                <w:tcPr>
                  <w:tcW w:w="0" w:type="auto"/>
                  <w:hideMark/>
                </w:tcPr>
                <w:p w14:paraId="2D7634BA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Güçlü Yönler</w:t>
                  </w:r>
                </w:p>
              </w:tc>
              <w:tc>
                <w:tcPr>
                  <w:tcW w:w="0" w:type="auto"/>
                  <w:hideMark/>
                </w:tcPr>
                <w:p w14:paraId="2AD18057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İyileştirmeye Açık Alanlar</w:t>
                  </w:r>
                </w:p>
              </w:tc>
              <w:tc>
                <w:tcPr>
                  <w:tcW w:w="0" w:type="auto"/>
                  <w:hideMark/>
                </w:tcPr>
                <w:p w14:paraId="423548FF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Kanıt</w:t>
                  </w:r>
                </w:p>
              </w:tc>
            </w:tr>
            <w:tr w:rsidR="00F467B5" w:rsidRPr="00136402" w14:paraId="124A7B93" w14:textId="77777777" w:rsidTr="00FD6762">
              <w:tc>
                <w:tcPr>
                  <w:tcW w:w="0" w:type="auto"/>
                  <w:hideMark/>
                </w:tcPr>
                <w:p w14:paraId="1920C7FB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Akademik kadronun alan uzmanlığına sahip olması</w:t>
                  </w:r>
                </w:p>
              </w:tc>
              <w:tc>
                <w:tcPr>
                  <w:tcW w:w="0" w:type="auto"/>
                  <w:hideMark/>
                </w:tcPr>
                <w:p w14:paraId="19A4A541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Öğretim elemanı–öğrenci etkileşiminin uygulama temelli artırılması</w:t>
                  </w:r>
                </w:p>
              </w:tc>
              <w:tc>
                <w:tcPr>
                  <w:tcW w:w="0" w:type="auto"/>
                  <w:hideMark/>
                </w:tcPr>
                <w:p w14:paraId="5C646383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Akademik kadro yeterliliği Ort. = </w:t>
                  </w: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3,61</w:t>
                  </w:r>
                </w:p>
              </w:tc>
            </w:tr>
          </w:tbl>
          <w:p w14:paraId="4E7367DB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411E7" w14:textId="77777777" w:rsidR="00F467B5" w:rsidRDefault="00F467B5" w:rsidP="00F4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0FA07C" w14:textId="77777777" w:rsidR="00F467B5" w:rsidRPr="00136402" w:rsidRDefault="00F467B5" w:rsidP="00F4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Öğrenme Kaynakları ve Fiziksel Altyapı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534"/>
              <w:gridCol w:w="4817"/>
              <w:gridCol w:w="2494"/>
            </w:tblGrid>
            <w:tr w:rsidR="00F467B5" w:rsidRPr="00136402" w14:paraId="6DD3F68C" w14:textId="77777777" w:rsidTr="00FD6762">
              <w:tc>
                <w:tcPr>
                  <w:tcW w:w="0" w:type="auto"/>
                  <w:hideMark/>
                </w:tcPr>
                <w:p w14:paraId="008C9F86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Güçlü Yönler</w:t>
                  </w:r>
                </w:p>
              </w:tc>
              <w:tc>
                <w:tcPr>
                  <w:tcW w:w="0" w:type="auto"/>
                  <w:hideMark/>
                </w:tcPr>
                <w:p w14:paraId="2DD08F6E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İyileştirmeye Açık Alanlar</w:t>
                  </w:r>
                </w:p>
              </w:tc>
              <w:tc>
                <w:tcPr>
                  <w:tcW w:w="0" w:type="auto"/>
                  <w:hideMark/>
                </w:tcPr>
                <w:p w14:paraId="351B27D5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Kanıt</w:t>
                  </w:r>
                </w:p>
              </w:tc>
            </w:tr>
            <w:tr w:rsidR="00F467B5" w:rsidRPr="00136402" w14:paraId="488589CE" w14:textId="77777777" w:rsidTr="00FD6762">
              <w:tc>
                <w:tcPr>
                  <w:tcW w:w="0" w:type="auto"/>
                  <w:hideMark/>
                </w:tcPr>
                <w:p w14:paraId="77A64B16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Mevcut tesislerin eğitim sürecine kısmen entegre edilmiş olması</w:t>
                  </w:r>
                </w:p>
              </w:tc>
              <w:tc>
                <w:tcPr>
                  <w:tcW w:w="0" w:type="auto"/>
                  <w:hideMark/>
                </w:tcPr>
                <w:p w14:paraId="419B74B7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Uygulamalı saha ve tesis imkânlarının öğrenci ihtiyaçlarını karşılamada yetersiz kalması</w:t>
                  </w:r>
                </w:p>
              </w:tc>
              <w:tc>
                <w:tcPr>
                  <w:tcW w:w="0" w:type="auto"/>
                  <w:hideMark/>
                </w:tcPr>
                <w:p w14:paraId="03D975B6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Uygulamalı tesis yeterliliği Ort. = </w:t>
                  </w: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2,14</w:t>
                  </w:r>
                </w:p>
              </w:tc>
            </w:tr>
            <w:tr w:rsidR="00F467B5" w:rsidRPr="00136402" w14:paraId="2A2B54B3" w14:textId="77777777" w:rsidTr="00FD6762">
              <w:tc>
                <w:tcPr>
                  <w:tcW w:w="0" w:type="auto"/>
                  <w:hideMark/>
                </w:tcPr>
                <w:p w14:paraId="460470A3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Staj ve uygulama süreçlerinin programda yer alması</w:t>
                  </w:r>
                </w:p>
              </w:tc>
              <w:tc>
                <w:tcPr>
                  <w:tcW w:w="0" w:type="auto"/>
                  <w:hideMark/>
                </w:tcPr>
                <w:p w14:paraId="3361FE06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Staj ve uygulama fırsatlarının çeşitlendirilmesi ve erişilebilirliğinin artırılması</w:t>
                  </w:r>
                </w:p>
              </w:tc>
              <w:tc>
                <w:tcPr>
                  <w:tcW w:w="0" w:type="auto"/>
                  <w:hideMark/>
                </w:tcPr>
                <w:p w14:paraId="515AF9BB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Staj ve uygulama yeterliliği Ort. = </w:t>
                  </w: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3,19</w:t>
                  </w:r>
                </w:p>
              </w:tc>
            </w:tr>
          </w:tbl>
          <w:p w14:paraId="5B5D21BB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3E072" w14:textId="77777777" w:rsidR="00F467B5" w:rsidRPr="00136402" w:rsidRDefault="00F467B5" w:rsidP="00F4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Mezuniyet, İstihdam ve Mesleki Yetkinlikler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583"/>
              <w:gridCol w:w="4333"/>
              <w:gridCol w:w="2929"/>
            </w:tblGrid>
            <w:tr w:rsidR="00F467B5" w:rsidRPr="00136402" w14:paraId="56B86F6E" w14:textId="77777777" w:rsidTr="00FD6762">
              <w:tc>
                <w:tcPr>
                  <w:tcW w:w="0" w:type="auto"/>
                  <w:hideMark/>
                </w:tcPr>
                <w:p w14:paraId="27264344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Güçlü Yönler</w:t>
                  </w:r>
                </w:p>
              </w:tc>
              <w:tc>
                <w:tcPr>
                  <w:tcW w:w="0" w:type="auto"/>
                  <w:hideMark/>
                </w:tcPr>
                <w:p w14:paraId="01EF56FB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İyileştirmeye Açık Alanlar</w:t>
                  </w:r>
                </w:p>
              </w:tc>
              <w:tc>
                <w:tcPr>
                  <w:tcW w:w="0" w:type="auto"/>
                  <w:hideMark/>
                </w:tcPr>
                <w:p w14:paraId="55E89567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Kanıt</w:t>
                  </w:r>
                </w:p>
              </w:tc>
            </w:tr>
            <w:tr w:rsidR="00F467B5" w:rsidRPr="00136402" w14:paraId="76C4B729" w14:textId="77777777" w:rsidTr="00FD6762">
              <w:tc>
                <w:tcPr>
                  <w:tcW w:w="0" w:type="auto"/>
                  <w:hideMark/>
                </w:tcPr>
                <w:p w14:paraId="7C97A5B9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Öğrencilerin mesleki beceri kazanımına yönelik farkındalığı</w:t>
                  </w:r>
                </w:p>
              </w:tc>
              <w:tc>
                <w:tcPr>
                  <w:tcW w:w="0" w:type="auto"/>
                  <w:hideMark/>
                </w:tcPr>
                <w:p w14:paraId="60BDB772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Mezuniyet sonrası istihdamı destekleyici uygulamaların güçlendirilmesi</w:t>
                  </w:r>
                </w:p>
              </w:tc>
              <w:tc>
                <w:tcPr>
                  <w:tcW w:w="0" w:type="auto"/>
                  <w:hideMark/>
                </w:tcPr>
                <w:p w14:paraId="69337963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Mesleki beceri kazanımı algısı Ort. = </w:t>
                  </w: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3,49</w:t>
                  </w:r>
                </w:p>
              </w:tc>
            </w:tr>
            <w:tr w:rsidR="00F467B5" w:rsidRPr="00136402" w14:paraId="4C25240B" w14:textId="77777777" w:rsidTr="00FD6762">
              <w:tc>
                <w:tcPr>
                  <w:tcW w:w="0" w:type="auto"/>
                  <w:hideMark/>
                </w:tcPr>
                <w:p w14:paraId="73B384D2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Araştırma ve proje yapma kültürünün programda yer alması</w:t>
                  </w:r>
                </w:p>
              </w:tc>
              <w:tc>
                <w:tcPr>
                  <w:tcW w:w="0" w:type="auto"/>
                  <w:hideMark/>
                </w:tcPr>
                <w:p w14:paraId="48FB5FE7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Öğrencilerin aktif araştırma ve proje süreçlerine daha fazla dahil edilmesi</w:t>
                  </w:r>
                </w:p>
              </w:tc>
              <w:tc>
                <w:tcPr>
                  <w:tcW w:w="0" w:type="auto"/>
                  <w:hideMark/>
                </w:tcPr>
                <w:p w14:paraId="6E9B053F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Araştırma/proje imkânları Ort. = </w:t>
                  </w: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3,48</w:t>
                  </w:r>
                </w:p>
              </w:tc>
            </w:tr>
            <w:tr w:rsidR="00F467B5" w:rsidRPr="00136402" w14:paraId="635DC9E9" w14:textId="77777777" w:rsidTr="00FD6762">
              <w:tc>
                <w:tcPr>
                  <w:tcW w:w="0" w:type="auto"/>
                  <w:hideMark/>
                </w:tcPr>
                <w:p w14:paraId="47E49209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Etik spor kültürü ve </w:t>
                  </w:r>
                  <w:proofErr w:type="spellStart"/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fair-play</w:t>
                  </w:r>
                  <w:proofErr w:type="spellEnd"/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vurgusu</w:t>
                  </w:r>
                </w:p>
              </w:tc>
              <w:tc>
                <w:tcPr>
                  <w:tcW w:w="0" w:type="auto"/>
                  <w:hideMark/>
                </w:tcPr>
                <w:p w14:paraId="26C34D85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Etik konuların uygulamalı etkinliklerle desteklenmesi</w:t>
                  </w:r>
                </w:p>
              </w:tc>
              <w:tc>
                <w:tcPr>
                  <w:tcW w:w="0" w:type="auto"/>
                  <w:hideMark/>
                </w:tcPr>
                <w:p w14:paraId="2D81B086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Etik spor kültürü algısı Ort. = </w:t>
                  </w: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3,58</w:t>
                  </w:r>
                </w:p>
              </w:tc>
            </w:tr>
          </w:tbl>
          <w:p w14:paraId="2017E98E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7B45E" w14:textId="77777777" w:rsidR="00F467B5" w:rsidRPr="00136402" w:rsidRDefault="00F467B5" w:rsidP="00F4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Kurumsal Vizyon ve Kalite Güvencesi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483"/>
              <w:gridCol w:w="4736"/>
              <w:gridCol w:w="2626"/>
            </w:tblGrid>
            <w:tr w:rsidR="00F467B5" w:rsidRPr="00136402" w14:paraId="049868D6" w14:textId="77777777" w:rsidTr="00FD6762">
              <w:tc>
                <w:tcPr>
                  <w:tcW w:w="0" w:type="auto"/>
                  <w:hideMark/>
                </w:tcPr>
                <w:p w14:paraId="357F5470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Güçlü Yönler</w:t>
                  </w:r>
                </w:p>
              </w:tc>
              <w:tc>
                <w:tcPr>
                  <w:tcW w:w="0" w:type="auto"/>
                  <w:hideMark/>
                </w:tcPr>
                <w:p w14:paraId="70D721CE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İyileştirmeye Açık Alanlar</w:t>
                  </w:r>
                </w:p>
              </w:tc>
              <w:tc>
                <w:tcPr>
                  <w:tcW w:w="0" w:type="auto"/>
                  <w:hideMark/>
                </w:tcPr>
                <w:p w14:paraId="0838C2DE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Kanıt</w:t>
                  </w:r>
                </w:p>
              </w:tc>
            </w:tr>
            <w:tr w:rsidR="00F467B5" w:rsidRPr="00136402" w14:paraId="54CC0911" w14:textId="77777777" w:rsidTr="00FD6762">
              <w:tc>
                <w:tcPr>
                  <w:tcW w:w="0" w:type="auto"/>
                  <w:hideMark/>
                </w:tcPr>
                <w:p w14:paraId="65FA9755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Fakültenin vizyon ve hedeflerinin öğrencilere aktarılması</w:t>
                  </w:r>
                </w:p>
              </w:tc>
              <w:tc>
                <w:tcPr>
                  <w:tcW w:w="0" w:type="auto"/>
                  <w:hideMark/>
                </w:tcPr>
                <w:p w14:paraId="598C7D8E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Vizyon ve hedeflerin öğrenci geri bildirimleriyle düzenli olarak gözden geçirilmesi</w:t>
                  </w:r>
                </w:p>
              </w:tc>
              <w:tc>
                <w:tcPr>
                  <w:tcW w:w="0" w:type="auto"/>
                  <w:hideMark/>
                </w:tcPr>
                <w:p w14:paraId="7DB99D14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Vizyon ve hedeflerin aktarımı Ort. = </w:t>
                  </w: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3,63</w:t>
                  </w:r>
                </w:p>
              </w:tc>
            </w:tr>
            <w:tr w:rsidR="00F467B5" w:rsidRPr="00136402" w14:paraId="35A28BD2" w14:textId="77777777" w:rsidTr="00FD6762">
              <w:tc>
                <w:tcPr>
                  <w:tcW w:w="0" w:type="auto"/>
                  <w:hideMark/>
                </w:tcPr>
                <w:p w14:paraId="3284B44F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Dijital iletişim kanallarının bilgilendirici olması</w:t>
                  </w:r>
                </w:p>
              </w:tc>
              <w:tc>
                <w:tcPr>
                  <w:tcW w:w="0" w:type="auto"/>
                  <w:hideMark/>
                </w:tcPr>
                <w:p w14:paraId="2805FA17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Dijital kanalların geri bildirim ve izleme aracı olarak daha etkin kullanılması</w:t>
                  </w:r>
                </w:p>
              </w:tc>
              <w:tc>
                <w:tcPr>
                  <w:tcW w:w="0" w:type="auto"/>
                  <w:hideMark/>
                </w:tcPr>
                <w:p w14:paraId="08581176" w14:textId="77777777" w:rsidR="00F467B5" w:rsidRPr="00136402" w:rsidRDefault="00F467B5" w:rsidP="00F467B5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Dijital iletişim yeterliliği Ort. = </w:t>
                  </w:r>
                  <w:r w:rsidRPr="00136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3,60</w:t>
                  </w:r>
                </w:p>
              </w:tc>
            </w:tr>
          </w:tbl>
          <w:p w14:paraId="37DADAB8" w14:textId="77777777" w:rsidR="00F467B5" w:rsidRPr="00136402" w:rsidRDefault="00F467B5" w:rsidP="00F4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8AC3A" w14:textId="7AA2DB31" w:rsidR="00A232D0" w:rsidRDefault="00A232D0"/>
        </w:tc>
      </w:tr>
      <w:tr w:rsidR="00A232D0" w14:paraId="157388A8" w14:textId="15F04CE0" w:rsidTr="00A232D0">
        <w:trPr>
          <w:trHeight w:val="2370"/>
        </w:trPr>
        <w:tc>
          <w:tcPr>
            <w:tcW w:w="5550" w:type="dxa"/>
          </w:tcPr>
          <w:p w14:paraId="2E5B7EB2" w14:textId="77777777" w:rsidR="00633445" w:rsidRDefault="00633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27B09" w14:textId="11C68928" w:rsidR="00633445" w:rsidRDefault="00633445" w:rsidP="0063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Feyza Meryem KARA</w:t>
            </w:r>
          </w:p>
          <w:p w14:paraId="12D197E2" w14:textId="77777777" w:rsidR="00633445" w:rsidRDefault="00633445" w:rsidP="0063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 Bilimleri Fakültesi</w:t>
            </w:r>
          </w:p>
          <w:p w14:paraId="30EAD319" w14:textId="0A7244AF" w:rsidR="00633445" w:rsidRDefault="00633445" w:rsidP="0063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Yrd.</w:t>
            </w:r>
          </w:p>
          <w:p w14:paraId="1981AB04" w14:textId="60E264D6" w:rsidR="00633445" w:rsidRDefault="00633445" w:rsidP="0063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Komisyon Üyesi</w:t>
            </w:r>
          </w:p>
          <w:p w14:paraId="10A6DB0D" w14:textId="77777777" w:rsidR="00A232D0" w:rsidRDefault="00A23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B60891" w14:textId="61B50E65" w:rsidR="00633445" w:rsidRPr="00455DC2" w:rsidRDefault="006334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1" w:type="dxa"/>
          </w:tcPr>
          <w:p w14:paraId="65A0AD95" w14:textId="77777777" w:rsidR="00633445" w:rsidRDefault="00633445" w:rsidP="00DC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6DB71" w14:textId="31ECF666" w:rsidR="00DC5133" w:rsidRDefault="00633445" w:rsidP="0063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45">
              <w:rPr>
                <w:rFonts w:ascii="Times New Roman" w:hAnsi="Times New Roman" w:cs="Times New Roman"/>
                <w:sz w:val="24"/>
                <w:szCs w:val="24"/>
              </w:rPr>
              <w:t>Prof. Dr. Hamdi Alper Güngörmüş</w:t>
            </w:r>
          </w:p>
          <w:p w14:paraId="480D7D68" w14:textId="77777777" w:rsidR="00633445" w:rsidRDefault="00633445" w:rsidP="0063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 Bilimleri Fakültesi</w:t>
            </w:r>
          </w:p>
          <w:p w14:paraId="1C206674" w14:textId="4890DBFE" w:rsidR="00633445" w:rsidRDefault="00633445" w:rsidP="0063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Dekanı</w:t>
            </w:r>
          </w:p>
          <w:p w14:paraId="4BE5D37D" w14:textId="7BDD6522" w:rsidR="00633445" w:rsidRPr="00633445" w:rsidRDefault="00633445" w:rsidP="0063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Komisyon Başkanı</w:t>
            </w:r>
          </w:p>
          <w:p w14:paraId="3EC1F36F" w14:textId="77777777" w:rsidR="00A232D0" w:rsidRPr="00455DC2" w:rsidRDefault="00A23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480858" w14:textId="77777777" w:rsidR="003E4DED" w:rsidRDefault="003E4DED"/>
    <w:sectPr w:rsidR="003E4DED" w:rsidSect="00A232D0">
      <w:headerReference w:type="default" r:id="rId7"/>
      <w:footerReference w:type="default" r:id="rId8"/>
      <w:pgSz w:w="11906" w:h="16838"/>
      <w:pgMar w:top="141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2837" w14:textId="77777777" w:rsidR="003F4B72" w:rsidRDefault="003F4B72" w:rsidP="00A232D0">
      <w:pPr>
        <w:spacing w:after="0" w:line="240" w:lineRule="auto"/>
      </w:pPr>
      <w:r>
        <w:separator/>
      </w:r>
    </w:p>
  </w:endnote>
  <w:endnote w:type="continuationSeparator" w:id="0">
    <w:p w14:paraId="0D03174F" w14:textId="77777777" w:rsidR="003F4B72" w:rsidRDefault="003F4B72" w:rsidP="00A2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-425"/>
      <w:tblW w:w="109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3498"/>
      <w:gridCol w:w="3498"/>
    </w:tblGrid>
    <w:tr w:rsidR="00A232D0" w:rsidRPr="006B1EAB" w14:paraId="53A4B993" w14:textId="77777777" w:rsidTr="0082563C">
      <w:trPr>
        <w:trHeight w:val="340"/>
      </w:trPr>
      <w:tc>
        <w:tcPr>
          <w:tcW w:w="392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EFCFBB" w14:textId="77777777" w:rsidR="00A232D0" w:rsidRPr="00E81470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bookmarkStart w:id="0" w:name="_Hlk85100968"/>
          <w:r w:rsidRPr="00E81470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00FBFF" w14:textId="77777777" w:rsidR="00A232D0" w:rsidRPr="00E81470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E81470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ED02EEB" w14:textId="77777777" w:rsidR="00A232D0" w:rsidRPr="00E81470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E81470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Yürürlük Onayı</w:t>
          </w:r>
        </w:p>
      </w:tc>
    </w:tr>
    <w:tr w:rsidR="00A232D0" w:rsidRPr="006B1EAB" w14:paraId="116B6E93" w14:textId="77777777" w:rsidTr="0082563C">
      <w:trPr>
        <w:trHeight w:val="340"/>
      </w:trPr>
      <w:tc>
        <w:tcPr>
          <w:tcW w:w="392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700BD3" w14:textId="77777777" w:rsidR="00A232D0" w:rsidRPr="00E81470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E81470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828C2B" w14:textId="77777777" w:rsidR="00A232D0" w:rsidRPr="00E81470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E81470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5484AD4" w14:textId="77777777" w:rsidR="00A232D0" w:rsidRPr="00E81470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E81470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Üst Yönetici</w:t>
          </w:r>
        </w:p>
      </w:tc>
    </w:tr>
    <w:bookmarkEnd w:id="0"/>
  </w:tbl>
  <w:p w14:paraId="4274F8A4" w14:textId="77777777" w:rsidR="00A232D0" w:rsidRDefault="00A232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706F5" w14:textId="77777777" w:rsidR="003F4B72" w:rsidRDefault="003F4B72" w:rsidP="00A232D0">
      <w:pPr>
        <w:spacing w:after="0" w:line="240" w:lineRule="auto"/>
      </w:pPr>
      <w:r>
        <w:separator/>
      </w:r>
    </w:p>
  </w:footnote>
  <w:footnote w:type="continuationSeparator" w:id="0">
    <w:p w14:paraId="463311C3" w14:textId="77777777" w:rsidR="003F4B72" w:rsidRDefault="003F4B72" w:rsidP="00A23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3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18"/>
      <w:gridCol w:w="6221"/>
      <w:gridCol w:w="1789"/>
      <w:gridCol w:w="1308"/>
    </w:tblGrid>
    <w:tr w:rsidR="00A232D0" w:rsidRPr="00E96C78" w14:paraId="10A705F7" w14:textId="77777777" w:rsidTr="00B83795">
      <w:trPr>
        <w:trHeight w:val="266"/>
      </w:trPr>
      <w:tc>
        <w:tcPr>
          <w:tcW w:w="1718" w:type="dxa"/>
          <w:vMerge w:val="restart"/>
          <w:vAlign w:val="center"/>
        </w:tcPr>
        <w:p w14:paraId="1CE4D42E" w14:textId="77777777" w:rsidR="00A232D0" w:rsidRPr="00E96C78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ind w:hanging="109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E96C78">
            <w:rPr>
              <w:rFonts w:ascii="Times New Roman" w:eastAsia="Calibri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7C00F489" wp14:editId="4BB217E4">
                <wp:extent cx="836295" cy="836295"/>
                <wp:effectExtent l="0" t="0" r="1905" b="1905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21" w:type="dxa"/>
          <w:vMerge w:val="restart"/>
          <w:vAlign w:val="center"/>
        </w:tcPr>
        <w:p w14:paraId="276EFDE9" w14:textId="79DAFC57" w:rsidR="00A232D0" w:rsidRPr="00455DC2" w:rsidRDefault="00633445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DEĞERLENDİRME RAPORU</w:t>
          </w:r>
        </w:p>
      </w:tc>
      <w:tc>
        <w:tcPr>
          <w:tcW w:w="1789" w:type="dxa"/>
          <w:vAlign w:val="center"/>
        </w:tcPr>
        <w:p w14:paraId="680FA204" w14:textId="77777777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455DC2">
            <w:rPr>
              <w:rFonts w:ascii="Times New Roman" w:eastAsia="Calibri" w:hAnsi="Times New Roman" w:cs="Times New Roman"/>
              <w:sz w:val="24"/>
              <w:szCs w:val="24"/>
            </w:rPr>
            <w:t>Doküman No</w:t>
          </w:r>
        </w:p>
      </w:tc>
      <w:tc>
        <w:tcPr>
          <w:tcW w:w="1308" w:type="dxa"/>
          <w:vAlign w:val="center"/>
        </w:tcPr>
        <w:p w14:paraId="3AC77382" w14:textId="5D4A0A4F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</w:tc>
    </w:tr>
    <w:tr w:rsidR="00A232D0" w:rsidRPr="00E96C78" w14:paraId="53F406FE" w14:textId="77777777" w:rsidTr="00B83795">
      <w:trPr>
        <w:trHeight w:val="266"/>
      </w:trPr>
      <w:tc>
        <w:tcPr>
          <w:tcW w:w="1718" w:type="dxa"/>
          <w:vMerge/>
          <w:vAlign w:val="center"/>
        </w:tcPr>
        <w:p w14:paraId="729C8FFF" w14:textId="77777777" w:rsidR="00A232D0" w:rsidRPr="00E96C78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6221" w:type="dxa"/>
          <w:vMerge/>
          <w:vAlign w:val="center"/>
        </w:tcPr>
        <w:p w14:paraId="7B4D1D79" w14:textId="77777777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789" w:type="dxa"/>
          <w:vAlign w:val="center"/>
        </w:tcPr>
        <w:p w14:paraId="5870A444" w14:textId="77777777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455DC2">
            <w:rPr>
              <w:rFonts w:ascii="Times New Roman" w:eastAsia="Calibri" w:hAnsi="Times New Roman" w:cs="Times New Roman"/>
              <w:sz w:val="24"/>
              <w:szCs w:val="24"/>
            </w:rPr>
            <w:t>İlk Yayın Tarihi</w:t>
          </w:r>
        </w:p>
      </w:tc>
      <w:tc>
        <w:tcPr>
          <w:tcW w:w="1308" w:type="dxa"/>
          <w:vAlign w:val="center"/>
        </w:tcPr>
        <w:p w14:paraId="745AA189" w14:textId="610F828D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</w:tc>
    </w:tr>
    <w:tr w:rsidR="00A232D0" w:rsidRPr="00E96C78" w14:paraId="143428BD" w14:textId="77777777" w:rsidTr="00B83795">
      <w:trPr>
        <w:trHeight w:val="266"/>
      </w:trPr>
      <w:tc>
        <w:tcPr>
          <w:tcW w:w="1718" w:type="dxa"/>
          <w:vMerge/>
          <w:vAlign w:val="center"/>
        </w:tcPr>
        <w:p w14:paraId="53BD32C9" w14:textId="77777777" w:rsidR="00A232D0" w:rsidRPr="00E96C78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6221" w:type="dxa"/>
          <w:vMerge/>
          <w:vAlign w:val="center"/>
        </w:tcPr>
        <w:p w14:paraId="1C52342B" w14:textId="77777777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789" w:type="dxa"/>
          <w:vAlign w:val="center"/>
        </w:tcPr>
        <w:p w14:paraId="18A825B9" w14:textId="77777777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455DC2">
            <w:rPr>
              <w:rFonts w:ascii="Times New Roman" w:eastAsia="Calibri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308" w:type="dxa"/>
          <w:vAlign w:val="center"/>
        </w:tcPr>
        <w:p w14:paraId="05BBE45B" w14:textId="77777777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455DC2">
            <w:rPr>
              <w:rFonts w:ascii="Times New Roman" w:eastAsia="Calibri" w:hAnsi="Times New Roman" w:cs="Times New Roman"/>
              <w:b/>
              <w:sz w:val="24"/>
              <w:szCs w:val="24"/>
            </w:rPr>
            <w:t>-</w:t>
          </w:r>
        </w:p>
      </w:tc>
    </w:tr>
    <w:tr w:rsidR="00A232D0" w:rsidRPr="00E96C78" w14:paraId="496BAC15" w14:textId="77777777" w:rsidTr="00B83795">
      <w:trPr>
        <w:trHeight w:val="266"/>
      </w:trPr>
      <w:tc>
        <w:tcPr>
          <w:tcW w:w="1718" w:type="dxa"/>
          <w:vMerge/>
          <w:vAlign w:val="center"/>
        </w:tcPr>
        <w:p w14:paraId="300B9E8C" w14:textId="77777777" w:rsidR="00A232D0" w:rsidRPr="00E96C78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6221" w:type="dxa"/>
          <w:vMerge/>
          <w:vAlign w:val="center"/>
        </w:tcPr>
        <w:p w14:paraId="48CE2A10" w14:textId="77777777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789" w:type="dxa"/>
          <w:vAlign w:val="center"/>
        </w:tcPr>
        <w:p w14:paraId="28309369" w14:textId="77777777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455DC2">
            <w:rPr>
              <w:rFonts w:ascii="Times New Roman" w:eastAsia="Calibri" w:hAnsi="Times New Roman" w:cs="Times New Roman"/>
              <w:sz w:val="24"/>
              <w:szCs w:val="24"/>
            </w:rPr>
            <w:t>Revizyon No</w:t>
          </w:r>
        </w:p>
      </w:tc>
      <w:tc>
        <w:tcPr>
          <w:tcW w:w="1308" w:type="dxa"/>
          <w:vAlign w:val="center"/>
        </w:tcPr>
        <w:p w14:paraId="6A93F6B0" w14:textId="77777777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455DC2">
            <w:rPr>
              <w:rFonts w:ascii="Times New Roman" w:eastAsia="Calibri" w:hAnsi="Times New Roman" w:cs="Times New Roman"/>
              <w:b/>
              <w:sz w:val="24"/>
              <w:szCs w:val="24"/>
            </w:rPr>
            <w:t>0</w:t>
          </w:r>
        </w:p>
      </w:tc>
    </w:tr>
    <w:tr w:rsidR="00A232D0" w:rsidRPr="00E96C78" w14:paraId="2DF06FE2" w14:textId="77777777" w:rsidTr="00B83795">
      <w:trPr>
        <w:trHeight w:val="266"/>
      </w:trPr>
      <w:tc>
        <w:tcPr>
          <w:tcW w:w="1718" w:type="dxa"/>
          <w:vMerge/>
          <w:vAlign w:val="center"/>
        </w:tcPr>
        <w:p w14:paraId="42B57BEB" w14:textId="77777777" w:rsidR="00A232D0" w:rsidRPr="00E96C78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6221" w:type="dxa"/>
          <w:vMerge/>
          <w:vAlign w:val="center"/>
        </w:tcPr>
        <w:p w14:paraId="475FBB7D" w14:textId="77777777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789" w:type="dxa"/>
          <w:vAlign w:val="center"/>
        </w:tcPr>
        <w:p w14:paraId="3EA89170" w14:textId="77777777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455DC2">
            <w:rPr>
              <w:rFonts w:ascii="Times New Roman" w:eastAsia="Calibri" w:hAnsi="Times New Roman" w:cs="Times New Roman"/>
              <w:sz w:val="24"/>
              <w:szCs w:val="24"/>
            </w:rPr>
            <w:t>Sayfa</w:t>
          </w:r>
        </w:p>
      </w:tc>
      <w:tc>
        <w:tcPr>
          <w:tcW w:w="1308" w:type="dxa"/>
          <w:vAlign w:val="center"/>
        </w:tcPr>
        <w:p w14:paraId="63E04629" w14:textId="24C9CB99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455DC2">
            <w:rPr>
              <w:rFonts w:ascii="Times New Roman" w:eastAsia="Calibri" w:hAnsi="Times New Roman" w:cs="Times New Roman"/>
              <w:b/>
              <w:sz w:val="24"/>
              <w:szCs w:val="24"/>
            </w:rPr>
            <w:fldChar w:fldCharType="begin"/>
          </w:r>
          <w:r w:rsidRPr="00455DC2">
            <w:rPr>
              <w:rFonts w:ascii="Times New Roman" w:eastAsia="Calibri" w:hAnsi="Times New Roman" w:cs="Times New Roman"/>
              <w:b/>
              <w:sz w:val="24"/>
              <w:szCs w:val="24"/>
            </w:rPr>
            <w:instrText xml:space="preserve"> PAGE   \* MERGEFORMAT </w:instrText>
          </w:r>
          <w:r w:rsidRPr="00455DC2">
            <w:rPr>
              <w:rFonts w:ascii="Times New Roman" w:eastAsia="Calibri" w:hAnsi="Times New Roman" w:cs="Times New Roman"/>
              <w:b/>
              <w:sz w:val="24"/>
              <w:szCs w:val="24"/>
            </w:rPr>
            <w:fldChar w:fldCharType="separate"/>
          </w:r>
          <w:r w:rsidR="00B16C4E"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  <w:t>1</w:t>
          </w:r>
          <w:r w:rsidRPr="00455DC2">
            <w:rPr>
              <w:rFonts w:ascii="Times New Roman" w:eastAsia="Calibri" w:hAnsi="Times New Roman" w:cs="Times New Roman"/>
              <w:b/>
              <w:sz w:val="24"/>
              <w:szCs w:val="24"/>
            </w:rPr>
            <w:fldChar w:fldCharType="end"/>
          </w:r>
          <w:r w:rsidRPr="00455DC2">
            <w:rPr>
              <w:rFonts w:ascii="Times New Roman" w:eastAsia="Calibri" w:hAnsi="Times New Roman" w:cs="Times New Roman"/>
              <w:b/>
              <w:sz w:val="24"/>
              <w:szCs w:val="24"/>
            </w:rPr>
            <w:t>/</w:t>
          </w:r>
          <w:r w:rsidRPr="00455DC2">
            <w:rPr>
              <w:rFonts w:ascii="Times New Roman" w:eastAsia="Calibri" w:hAnsi="Times New Roman" w:cs="Times New Roman"/>
              <w:sz w:val="24"/>
              <w:szCs w:val="24"/>
            </w:rPr>
            <w:fldChar w:fldCharType="begin"/>
          </w:r>
          <w:r w:rsidRPr="00455DC2">
            <w:rPr>
              <w:rFonts w:ascii="Times New Roman" w:eastAsia="Calibri" w:hAnsi="Times New Roman" w:cs="Times New Roman"/>
              <w:sz w:val="24"/>
              <w:szCs w:val="24"/>
            </w:rPr>
            <w:instrText xml:space="preserve"> NUMPAGES   \* MERGEFORMAT </w:instrText>
          </w:r>
          <w:r w:rsidRPr="00455DC2">
            <w:rPr>
              <w:rFonts w:ascii="Times New Roman" w:eastAsia="Calibri" w:hAnsi="Times New Roman" w:cs="Times New Roman"/>
              <w:sz w:val="24"/>
              <w:szCs w:val="24"/>
            </w:rPr>
            <w:fldChar w:fldCharType="separate"/>
          </w:r>
          <w:r w:rsidR="00B16C4E" w:rsidRPr="00B16C4E"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  <w:t>1</w:t>
          </w:r>
          <w:r w:rsidRPr="00455DC2"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  <w:fldChar w:fldCharType="end"/>
          </w:r>
        </w:p>
      </w:tc>
    </w:tr>
  </w:tbl>
  <w:p w14:paraId="041D8F5B" w14:textId="77777777" w:rsidR="00A232D0" w:rsidRDefault="00A232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39F"/>
    <w:multiLevelType w:val="multilevel"/>
    <w:tmpl w:val="0794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04108"/>
    <w:multiLevelType w:val="multilevel"/>
    <w:tmpl w:val="37D6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D1325"/>
    <w:multiLevelType w:val="multilevel"/>
    <w:tmpl w:val="38C0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B3EF4"/>
    <w:multiLevelType w:val="multilevel"/>
    <w:tmpl w:val="BF0E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503E4"/>
    <w:multiLevelType w:val="multilevel"/>
    <w:tmpl w:val="031C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224070"/>
    <w:multiLevelType w:val="multilevel"/>
    <w:tmpl w:val="B79C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A29F6"/>
    <w:multiLevelType w:val="multilevel"/>
    <w:tmpl w:val="0342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746776"/>
    <w:multiLevelType w:val="multilevel"/>
    <w:tmpl w:val="E0E2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960B91"/>
    <w:multiLevelType w:val="multilevel"/>
    <w:tmpl w:val="BFC2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FC6D3F"/>
    <w:multiLevelType w:val="hybridMultilevel"/>
    <w:tmpl w:val="C6DA50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250FD"/>
    <w:multiLevelType w:val="multilevel"/>
    <w:tmpl w:val="9256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F45976"/>
    <w:multiLevelType w:val="multilevel"/>
    <w:tmpl w:val="B2C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CB01EC"/>
    <w:multiLevelType w:val="multilevel"/>
    <w:tmpl w:val="D858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294C94"/>
    <w:multiLevelType w:val="multilevel"/>
    <w:tmpl w:val="238A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537A90"/>
    <w:multiLevelType w:val="multilevel"/>
    <w:tmpl w:val="704C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300643">
    <w:abstractNumId w:val="13"/>
  </w:num>
  <w:num w:numId="2" w16cid:durableId="1555848064">
    <w:abstractNumId w:val="1"/>
  </w:num>
  <w:num w:numId="3" w16cid:durableId="1784032504">
    <w:abstractNumId w:val="2"/>
  </w:num>
  <w:num w:numId="4" w16cid:durableId="314184045">
    <w:abstractNumId w:val="11"/>
  </w:num>
  <w:num w:numId="5" w16cid:durableId="600264570">
    <w:abstractNumId w:val="7"/>
  </w:num>
  <w:num w:numId="6" w16cid:durableId="1081950941">
    <w:abstractNumId w:val="6"/>
  </w:num>
  <w:num w:numId="7" w16cid:durableId="163785605">
    <w:abstractNumId w:val="10"/>
  </w:num>
  <w:num w:numId="8" w16cid:durableId="206723787">
    <w:abstractNumId w:val="3"/>
  </w:num>
  <w:num w:numId="9" w16cid:durableId="2019767124">
    <w:abstractNumId w:val="9"/>
  </w:num>
  <w:num w:numId="10" w16cid:durableId="1608349126">
    <w:abstractNumId w:val="8"/>
  </w:num>
  <w:num w:numId="11" w16cid:durableId="841167237">
    <w:abstractNumId w:val="0"/>
  </w:num>
  <w:num w:numId="12" w16cid:durableId="1284768765">
    <w:abstractNumId w:val="12"/>
  </w:num>
  <w:num w:numId="13" w16cid:durableId="1746758043">
    <w:abstractNumId w:val="4"/>
  </w:num>
  <w:num w:numId="14" w16cid:durableId="930620150">
    <w:abstractNumId w:val="5"/>
  </w:num>
  <w:num w:numId="15" w16cid:durableId="3678030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1E"/>
    <w:rsid w:val="000558E2"/>
    <w:rsid w:val="000D29FF"/>
    <w:rsid w:val="001C1688"/>
    <w:rsid w:val="001E087A"/>
    <w:rsid w:val="002E73CA"/>
    <w:rsid w:val="003E4DED"/>
    <w:rsid w:val="003F4B72"/>
    <w:rsid w:val="00455DC2"/>
    <w:rsid w:val="004A7DA8"/>
    <w:rsid w:val="004F17FB"/>
    <w:rsid w:val="005C7924"/>
    <w:rsid w:val="00633445"/>
    <w:rsid w:val="00746A1E"/>
    <w:rsid w:val="009C6A0B"/>
    <w:rsid w:val="00A232D0"/>
    <w:rsid w:val="00B16C4E"/>
    <w:rsid w:val="00B83795"/>
    <w:rsid w:val="00D3776E"/>
    <w:rsid w:val="00DC5133"/>
    <w:rsid w:val="00DF6CA5"/>
    <w:rsid w:val="00E81470"/>
    <w:rsid w:val="00F4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FF871"/>
  <w15:chartTrackingRefBased/>
  <w15:docId w15:val="{861124D3-5A01-4EE2-AFDC-C4CFF725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3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32D0"/>
  </w:style>
  <w:style w:type="paragraph" w:styleId="AltBilgi">
    <w:name w:val="footer"/>
    <w:basedOn w:val="Normal"/>
    <w:link w:val="AltBilgiChar"/>
    <w:uiPriority w:val="99"/>
    <w:unhideWhenUsed/>
    <w:rsid w:val="00A23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32D0"/>
  </w:style>
  <w:style w:type="table" w:styleId="TabloKlavuzu">
    <w:name w:val="Table Grid"/>
    <w:basedOn w:val="NormalTablo"/>
    <w:uiPriority w:val="39"/>
    <w:rsid w:val="00A23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33445"/>
    <w:pPr>
      <w:ind w:left="720"/>
      <w:contextualSpacing/>
    </w:pPr>
    <w:rPr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914</Words>
  <Characters>6604</Characters>
  <Application>Microsoft Office Word</Application>
  <DocSecurity>0</DocSecurity>
  <Lines>254</Lines>
  <Paragraphs>136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ANDIZ SÖĞÜT</dc:creator>
  <cp:keywords/>
  <dc:description/>
  <cp:lastModifiedBy>FEYZA MERYEM KARA</cp:lastModifiedBy>
  <cp:revision>4</cp:revision>
  <dcterms:created xsi:type="dcterms:W3CDTF">2025-12-12T08:47:00Z</dcterms:created>
  <dcterms:modified xsi:type="dcterms:W3CDTF">2025-12-12T08:54:00Z</dcterms:modified>
</cp:coreProperties>
</file>